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92C" w:rsidRDefault="00E7492C">
      <w:pPr>
        <w:rPr>
          <w:b/>
          <w:bCs/>
          <w:u w:val="single"/>
        </w:rPr>
      </w:pPr>
      <w:r>
        <w:rPr>
          <w:b/>
          <w:bCs/>
          <w:u w:val="single"/>
        </w:rPr>
        <w:t>Adult Studies open at Hammersmith Hospital:</w:t>
      </w:r>
    </w:p>
    <w:p w:rsidR="00E7492C" w:rsidRDefault="00E7492C">
      <w:pPr>
        <w:rPr>
          <w:b/>
          <w:bCs/>
          <w:u w:val="single"/>
        </w:rPr>
      </w:pPr>
    </w:p>
    <w:p w:rsidR="002C178D" w:rsidRDefault="00A96DA3" w:rsidP="00E7492C">
      <w:hyperlink r:id="rId5" w:history="1">
        <w:r w:rsidR="00E7492C" w:rsidRPr="00E7492C">
          <w:rPr>
            <w:rStyle w:val="Hyperlink"/>
            <w:b/>
            <w:bCs/>
          </w:rPr>
          <w:t>REDRESS:</w:t>
        </w:r>
      </w:hyperlink>
      <w:r w:rsidR="00E7492C" w:rsidRPr="00E7492C">
        <w:rPr>
          <w:b/>
          <w:bCs/>
          <w:u w:val="single"/>
        </w:rPr>
        <w:t xml:space="preserve"> </w:t>
      </w:r>
      <w:r w:rsidR="00E7492C">
        <w:rPr>
          <w:b/>
          <w:bCs/>
          <w:u w:val="single"/>
        </w:rPr>
        <w:br/>
      </w:r>
      <w:r w:rsidR="00E7492C">
        <w:rPr>
          <w:b/>
          <w:bCs/>
          <w:u w:val="single"/>
        </w:rPr>
        <w:br/>
      </w:r>
      <w:r w:rsidR="00E7492C" w:rsidRPr="00E7492C">
        <w:t xml:space="preserve">A multi-centre open randomised controlled trial to assess the effect of related </w:t>
      </w:r>
      <w:r w:rsidR="00E7492C" w:rsidRPr="00E7492C">
        <w:rPr>
          <w:b/>
          <w:bCs/>
          <w:i/>
          <w:iCs/>
        </w:rPr>
        <w:t xml:space="preserve">haplo-donor haematopoietic stem cell transplantation versus standard of care </w:t>
      </w:r>
      <w:r w:rsidR="00E7492C" w:rsidRPr="00E7492C">
        <w:t>(no transplant) on treatment failure at 24 month in adults with severe sickle cell disease</w:t>
      </w:r>
      <w:r w:rsidR="00E7492C">
        <w:t>.</w:t>
      </w:r>
    </w:p>
    <w:p w:rsidR="00A96DA3" w:rsidRDefault="00A96DA3" w:rsidP="00E7492C"/>
    <w:p w:rsidR="00A96DA3" w:rsidRDefault="00A96DA3" w:rsidP="00A96DA3">
      <w:pPr>
        <w:rPr>
          <w:b/>
          <w:bCs/>
          <w:u w:val="single"/>
        </w:rPr>
      </w:pPr>
      <w:hyperlink r:id="rId6" w:history="1">
        <w:r w:rsidRPr="00A96DA3">
          <w:rPr>
            <w:rStyle w:val="Hyperlink"/>
            <w:b/>
            <w:bCs/>
          </w:rPr>
          <w:t>FERVENT-1:</w:t>
        </w:r>
      </w:hyperlink>
      <w:bookmarkStart w:id="0" w:name="_GoBack"/>
      <w:bookmarkEnd w:id="0"/>
      <w:r w:rsidRPr="00A96DA3">
        <w:rPr>
          <w:b/>
          <w:bCs/>
          <w:u w:val="single"/>
        </w:rPr>
        <w:t xml:space="preserve"> </w:t>
      </w:r>
    </w:p>
    <w:p w:rsidR="00A96DA3" w:rsidRPr="00A96DA3" w:rsidRDefault="00A96DA3" w:rsidP="00A96DA3">
      <w:r w:rsidRPr="00A96DA3">
        <w:t xml:space="preserve">A </w:t>
      </w:r>
      <w:r w:rsidRPr="00A96DA3">
        <w:rPr>
          <w:lang w:val="en-US"/>
        </w:rPr>
        <w:t xml:space="preserve">phase 2, two-part, randomized, double blind, placebo controlled, multicenter study to evaluate the efficacy, safety, and tolerability of subcutaneously administrated </w:t>
      </w:r>
      <w:r w:rsidRPr="00A96DA3">
        <w:rPr>
          <w:b/>
          <w:bCs/>
          <w:i/>
          <w:iCs/>
          <w:lang w:val="en-US"/>
        </w:rPr>
        <w:t xml:space="preserve">REGN7999 (TMPRSS6 inhibitor) </w:t>
      </w:r>
      <w:r w:rsidRPr="00A96DA3">
        <w:rPr>
          <w:lang w:val="en-US"/>
        </w:rPr>
        <w:t xml:space="preserve">in Participants with iron overload due to non-transfusion dependent Beta Thalassemia. </w:t>
      </w:r>
    </w:p>
    <w:p w:rsidR="00A96DA3" w:rsidRDefault="00A96DA3" w:rsidP="00A96DA3">
      <w:pPr>
        <w:rPr>
          <w:b/>
        </w:rPr>
      </w:pPr>
      <w:hyperlink r:id="rId7" w:history="1">
        <w:r w:rsidRPr="003D4485">
          <w:rPr>
            <w:rStyle w:val="Hyperlink"/>
            <w:b/>
          </w:rPr>
          <w:t>Hibiscus:</w:t>
        </w:r>
      </w:hyperlink>
    </w:p>
    <w:p w:rsidR="00A96DA3" w:rsidRDefault="00A96DA3" w:rsidP="00A96DA3">
      <w:r w:rsidRPr="003D4485">
        <w:t>An Adaptive, Randomized, Placebo-controlled, Double blind, Multi-centre study of</w:t>
      </w:r>
      <w:r w:rsidRPr="003D4485">
        <w:rPr>
          <w:b/>
        </w:rPr>
        <w:t xml:space="preserve"> </w:t>
      </w:r>
      <w:r w:rsidRPr="003D4485">
        <w:rPr>
          <w:b/>
          <w:bCs/>
          <w:i/>
          <w:iCs/>
        </w:rPr>
        <w:t xml:space="preserve">Etavopivat (FT- 4202 – a Pyruvate Kinase Activator) </w:t>
      </w:r>
      <w:r w:rsidRPr="003D4485">
        <w:t>in Patients with all sickle cell genotypes.</w:t>
      </w:r>
      <w:r>
        <w:rPr>
          <w:b/>
        </w:rPr>
        <w:t xml:space="preserve"> </w:t>
      </w:r>
      <w:r>
        <w:t xml:space="preserve">The study has a 52-week double blind period, with a 2:1 randomisation (Etavopivat vs Placebo). </w:t>
      </w:r>
    </w:p>
    <w:p w:rsidR="00185146" w:rsidRPr="00185146" w:rsidRDefault="00185146" w:rsidP="00E7492C"/>
    <w:p w:rsidR="002C178D" w:rsidRPr="002C178D" w:rsidRDefault="00A96DA3" w:rsidP="00E7492C">
      <w:pPr>
        <w:rPr>
          <w:b/>
          <w:u w:val="single"/>
        </w:rPr>
      </w:pPr>
      <w:hyperlink r:id="rId8" w:history="1">
        <w:r w:rsidR="002C178D" w:rsidRPr="002C178D">
          <w:rPr>
            <w:rStyle w:val="Hyperlink"/>
            <w:b/>
          </w:rPr>
          <w:t>Improving Black Health Outcomes (IBHO) NIHR BioResource:</w:t>
        </w:r>
      </w:hyperlink>
    </w:p>
    <w:p w:rsidR="002C178D" w:rsidRDefault="002C178D" w:rsidP="00D853F2">
      <w:pPr>
        <w:spacing w:after="0"/>
        <w:jc w:val="both"/>
        <w:rPr>
          <w:rFonts w:cstheme="minorHAnsi"/>
          <w:color w:val="030F1C"/>
        </w:rPr>
      </w:pPr>
      <w:r w:rsidRPr="002C178D">
        <w:rPr>
          <w:rFonts w:cstheme="minorHAnsi"/>
          <w:color w:val="030F1C"/>
        </w:rPr>
        <w:t>This new research initiative is dedicated to studying health conditions that disproportionately affect people from Black communities in the UK, such as sickle cell disease and thalassemia. This observational study invites individuals from Black ethnic backgrounds to participate in research aimed at improving our understanding of how these conditions might develop and specifically affect those from Black communities.</w:t>
      </w:r>
    </w:p>
    <w:p w:rsidR="002C178D" w:rsidRDefault="002C178D" w:rsidP="00E7492C">
      <w:pPr>
        <w:rPr>
          <w:rFonts w:cstheme="minorHAnsi"/>
          <w:color w:val="030F1C"/>
        </w:rPr>
      </w:pPr>
    </w:p>
    <w:p w:rsidR="002C178D" w:rsidRPr="00D853F2" w:rsidRDefault="00A96DA3" w:rsidP="00E7492C">
      <w:pPr>
        <w:rPr>
          <w:rFonts w:cstheme="minorHAnsi"/>
          <w:b/>
          <w:color w:val="030F1C"/>
        </w:rPr>
      </w:pPr>
      <w:hyperlink r:id="rId9" w:history="1">
        <w:r w:rsidR="00D853F2" w:rsidRPr="00D853F2">
          <w:rPr>
            <w:rStyle w:val="Hyperlink"/>
            <w:rFonts w:cstheme="minorHAnsi"/>
            <w:b/>
          </w:rPr>
          <w:t>Sickle Eye Project:</w:t>
        </w:r>
      </w:hyperlink>
    </w:p>
    <w:p w:rsidR="00D853F2" w:rsidRPr="00D853F2" w:rsidRDefault="00D853F2" w:rsidP="00D853F2">
      <w:pPr>
        <w:spacing w:after="0"/>
        <w:jc w:val="both"/>
        <w:rPr>
          <w:rFonts w:cstheme="minorHAnsi"/>
          <w:color w:val="030F1C"/>
        </w:rPr>
      </w:pPr>
      <w:r w:rsidRPr="00D853F2">
        <w:rPr>
          <w:rFonts w:cstheme="minorHAnsi"/>
          <w:color w:val="231F20"/>
          <w:shd w:val="clear" w:color="auto" w:fill="FFFFFF"/>
        </w:rPr>
        <w:t>The Sickle Eye Project is looking for anyone with Sickle Cell Disease, to help us improve his or her eye care and vision-related quality of life. The study is open to all Sickle Cell patients regardless if they have been experiencing issues with vision or not. Participation involves completing two brief questionnaires and having eye tests and scans that are quick, painless and routine in the NHS.</w:t>
      </w:r>
    </w:p>
    <w:p w:rsidR="00D853F2" w:rsidRDefault="00D853F2" w:rsidP="00E7492C"/>
    <w:p w:rsidR="002C178D" w:rsidRPr="002C178D" w:rsidRDefault="002C178D" w:rsidP="00E7492C">
      <w:r w:rsidRPr="002C178D">
        <w:t xml:space="preserve">For more information about any of these studies, please </w:t>
      </w:r>
      <w:hyperlink r:id="rId10" w:history="1">
        <w:r w:rsidRPr="002C178D">
          <w:rPr>
            <w:rStyle w:val="Hyperlink"/>
            <w:b/>
          </w:rPr>
          <w:t>email our team.</w:t>
        </w:r>
      </w:hyperlink>
    </w:p>
    <w:p w:rsidR="00E7492C" w:rsidRPr="00E7492C" w:rsidRDefault="00E7492C" w:rsidP="00E7492C"/>
    <w:p w:rsidR="00E7492C" w:rsidRDefault="00E7492C" w:rsidP="00E7492C"/>
    <w:sectPr w:rsidR="00E74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936"/>
    <w:multiLevelType w:val="hybridMultilevel"/>
    <w:tmpl w:val="CC4C0C64"/>
    <w:lvl w:ilvl="0" w:tplc="D8F48346">
      <w:start w:val="1"/>
      <w:numFmt w:val="bullet"/>
      <w:lvlText w:val="•"/>
      <w:lvlJc w:val="left"/>
      <w:pPr>
        <w:tabs>
          <w:tab w:val="num" w:pos="720"/>
        </w:tabs>
        <w:ind w:left="720" w:hanging="360"/>
      </w:pPr>
      <w:rPr>
        <w:rFonts w:ascii="Arial" w:hAnsi="Arial" w:hint="default"/>
      </w:rPr>
    </w:lvl>
    <w:lvl w:ilvl="1" w:tplc="880A8AF6" w:tentative="1">
      <w:start w:val="1"/>
      <w:numFmt w:val="bullet"/>
      <w:lvlText w:val="•"/>
      <w:lvlJc w:val="left"/>
      <w:pPr>
        <w:tabs>
          <w:tab w:val="num" w:pos="1440"/>
        </w:tabs>
        <w:ind w:left="1440" w:hanging="360"/>
      </w:pPr>
      <w:rPr>
        <w:rFonts w:ascii="Arial" w:hAnsi="Arial" w:hint="default"/>
      </w:rPr>
    </w:lvl>
    <w:lvl w:ilvl="2" w:tplc="7A1871A4" w:tentative="1">
      <w:start w:val="1"/>
      <w:numFmt w:val="bullet"/>
      <w:lvlText w:val="•"/>
      <w:lvlJc w:val="left"/>
      <w:pPr>
        <w:tabs>
          <w:tab w:val="num" w:pos="2160"/>
        </w:tabs>
        <w:ind w:left="2160" w:hanging="360"/>
      </w:pPr>
      <w:rPr>
        <w:rFonts w:ascii="Arial" w:hAnsi="Arial" w:hint="default"/>
      </w:rPr>
    </w:lvl>
    <w:lvl w:ilvl="3" w:tplc="1BDE70DC" w:tentative="1">
      <w:start w:val="1"/>
      <w:numFmt w:val="bullet"/>
      <w:lvlText w:val="•"/>
      <w:lvlJc w:val="left"/>
      <w:pPr>
        <w:tabs>
          <w:tab w:val="num" w:pos="2880"/>
        </w:tabs>
        <w:ind w:left="2880" w:hanging="360"/>
      </w:pPr>
      <w:rPr>
        <w:rFonts w:ascii="Arial" w:hAnsi="Arial" w:hint="default"/>
      </w:rPr>
    </w:lvl>
    <w:lvl w:ilvl="4" w:tplc="432C5568" w:tentative="1">
      <w:start w:val="1"/>
      <w:numFmt w:val="bullet"/>
      <w:lvlText w:val="•"/>
      <w:lvlJc w:val="left"/>
      <w:pPr>
        <w:tabs>
          <w:tab w:val="num" w:pos="3600"/>
        </w:tabs>
        <w:ind w:left="3600" w:hanging="360"/>
      </w:pPr>
      <w:rPr>
        <w:rFonts w:ascii="Arial" w:hAnsi="Arial" w:hint="default"/>
      </w:rPr>
    </w:lvl>
    <w:lvl w:ilvl="5" w:tplc="EB5CC25A" w:tentative="1">
      <w:start w:val="1"/>
      <w:numFmt w:val="bullet"/>
      <w:lvlText w:val="•"/>
      <w:lvlJc w:val="left"/>
      <w:pPr>
        <w:tabs>
          <w:tab w:val="num" w:pos="4320"/>
        </w:tabs>
        <w:ind w:left="4320" w:hanging="360"/>
      </w:pPr>
      <w:rPr>
        <w:rFonts w:ascii="Arial" w:hAnsi="Arial" w:hint="default"/>
      </w:rPr>
    </w:lvl>
    <w:lvl w:ilvl="6" w:tplc="7FD80C1E" w:tentative="1">
      <w:start w:val="1"/>
      <w:numFmt w:val="bullet"/>
      <w:lvlText w:val="•"/>
      <w:lvlJc w:val="left"/>
      <w:pPr>
        <w:tabs>
          <w:tab w:val="num" w:pos="5040"/>
        </w:tabs>
        <w:ind w:left="5040" w:hanging="360"/>
      </w:pPr>
      <w:rPr>
        <w:rFonts w:ascii="Arial" w:hAnsi="Arial" w:hint="default"/>
      </w:rPr>
    </w:lvl>
    <w:lvl w:ilvl="7" w:tplc="2E34F8EE" w:tentative="1">
      <w:start w:val="1"/>
      <w:numFmt w:val="bullet"/>
      <w:lvlText w:val="•"/>
      <w:lvlJc w:val="left"/>
      <w:pPr>
        <w:tabs>
          <w:tab w:val="num" w:pos="5760"/>
        </w:tabs>
        <w:ind w:left="5760" w:hanging="360"/>
      </w:pPr>
      <w:rPr>
        <w:rFonts w:ascii="Arial" w:hAnsi="Arial" w:hint="default"/>
      </w:rPr>
    </w:lvl>
    <w:lvl w:ilvl="8" w:tplc="4DA4F6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C51C75"/>
    <w:multiLevelType w:val="hybridMultilevel"/>
    <w:tmpl w:val="DC7C099E"/>
    <w:lvl w:ilvl="0" w:tplc="2F4A7184">
      <w:start w:val="1"/>
      <w:numFmt w:val="bullet"/>
      <w:lvlText w:val="•"/>
      <w:lvlJc w:val="left"/>
      <w:pPr>
        <w:tabs>
          <w:tab w:val="num" w:pos="720"/>
        </w:tabs>
        <w:ind w:left="720" w:hanging="360"/>
      </w:pPr>
      <w:rPr>
        <w:rFonts w:ascii="Arial" w:hAnsi="Arial" w:hint="default"/>
      </w:rPr>
    </w:lvl>
    <w:lvl w:ilvl="1" w:tplc="4A9CD2E2" w:tentative="1">
      <w:start w:val="1"/>
      <w:numFmt w:val="bullet"/>
      <w:lvlText w:val="•"/>
      <w:lvlJc w:val="left"/>
      <w:pPr>
        <w:tabs>
          <w:tab w:val="num" w:pos="1440"/>
        </w:tabs>
        <w:ind w:left="1440" w:hanging="360"/>
      </w:pPr>
      <w:rPr>
        <w:rFonts w:ascii="Arial" w:hAnsi="Arial" w:hint="default"/>
      </w:rPr>
    </w:lvl>
    <w:lvl w:ilvl="2" w:tplc="A078BA92" w:tentative="1">
      <w:start w:val="1"/>
      <w:numFmt w:val="bullet"/>
      <w:lvlText w:val="•"/>
      <w:lvlJc w:val="left"/>
      <w:pPr>
        <w:tabs>
          <w:tab w:val="num" w:pos="2160"/>
        </w:tabs>
        <w:ind w:left="2160" w:hanging="360"/>
      </w:pPr>
      <w:rPr>
        <w:rFonts w:ascii="Arial" w:hAnsi="Arial" w:hint="default"/>
      </w:rPr>
    </w:lvl>
    <w:lvl w:ilvl="3" w:tplc="11949AA2" w:tentative="1">
      <w:start w:val="1"/>
      <w:numFmt w:val="bullet"/>
      <w:lvlText w:val="•"/>
      <w:lvlJc w:val="left"/>
      <w:pPr>
        <w:tabs>
          <w:tab w:val="num" w:pos="2880"/>
        </w:tabs>
        <w:ind w:left="2880" w:hanging="360"/>
      </w:pPr>
      <w:rPr>
        <w:rFonts w:ascii="Arial" w:hAnsi="Arial" w:hint="default"/>
      </w:rPr>
    </w:lvl>
    <w:lvl w:ilvl="4" w:tplc="BE8E0654" w:tentative="1">
      <w:start w:val="1"/>
      <w:numFmt w:val="bullet"/>
      <w:lvlText w:val="•"/>
      <w:lvlJc w:val="left"/>
      <w:pPr>
        <w:tabs>
          <w:tab w:val="num" w:pos="3600"/>
        </w:tabs>
        <w:ind w:left="3600" w:hanging="360"/>
      </w:pPr>
      <w:rPr>
        <w:rFonts w:ascii="Arial" w:hAnsi="Arial" w:hint="default"/>
      </w:rPr>
    </w:lvl>
    <w:lvl w:ilvl="5" w:tplc="47ECA444" w:tentative="1">
      <w:start w:val="1"/>
      <w:numFmt w:val="bullet"/>
      <w:lvlText w:val="•"/>
      <w:lvlJc w:val="left"/>
      <w:pPr>
        <w:tabs>
          <w:tab w:val="num" w:pos="4320"/>
        </w:tabs>
        <w:ind w:left="4320" w:hanging="360"/>
      </w:pPr>
      <w:rPr>
        <w:rFonts w:ascii="Arial" w:hAnsi="Arial" w:hint="default"/>
      </w:rPr>
    </w:lvl>
    <w:lvl w:ilvl="6" w:tplc="73CE23B2" w:tentative="1">
      <w:start w:val="1"/>
      <w:numFmt w:val="bullet"/>
      <w:lvlText w:val="•"/>
      <w:lvlJc w:val="left"/>
      <w:pPr>
        <w:tabs>
          <w:tab w:val="num" w:pos="5040"/>
        </w:tabs>
        <w:ind w:left="5040" w:hanging="360"/>
      </w:pPr>
      <w:rPr>
        <w:rFonts w:ascii="Arial" w:hAnsi="Arial" w:hint="default"/>
      </w:rPr>
    </w:lvl>
    <w:lvl w:ilvl="7" w:tplc="B9128864" w:tentative="1">
      <w:start w:val="1"/>
      <w:numFmt w:val="bullet"/>
      <w:lvlText w:val="•"/>
      <w:lvlJc w:val="left"/>
      <w:pPr>
        <w:tabs>
          <w:tab w:val="num" w:pos="5760"/>
        </w:tabs>
        <w:ind w:left="5760" w:hanging="360"/>
      </w:pPr>
      <w:rPr>
        <w:rFonts w:ascii="Arial" w:hAnsi="Arial" w:hint="default"/>
      </w:rPr>
    </w:lvl>
    <w:lvl w:ilvl="8" w:tplc="0F4898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2C2BFD"/>
    <w:multiLevelType w:val="hybridMultilevel"/>
    <w:tmpl w:val="7A1049EE"/>
    <w:lvl w:ilvl="0" w:tplc="93F80DDA">
      <w:start w:val="1"/>
      <w:numFmt w:val="bullet"/>
      <w:lvlText w:val="o"/>
      <w:lvlJc w:val="left"/>
      <w:pPr>
        <w:tabs>
          <w:tab w:val="num" w:pos="720"/>
        </w:tabs>
        <w:ind w:left="720" w:hanging="360"/>
      </w:pPr>
      <w:rPr>
        <w:rFonts w:ascii="Courier New" w:hAnsi="Courier New" w:hint="default"/>
      </w:rPr>
    </w:lvl>
    <w:lvl w:ilvl="1" w:tplc="DC5C3FEA" w:tentative="1">
      <w:start w:val="1"/>
      <w:numFmt w:val="bullet"/>
      <w:lvlText w:val="o"/>
      <w:lvlJc w:val="left"/>
      <w:pPr>
        <w:tabs>
          <w:tab w:val="num" w:pos="1440"/>
        </w:tabs>
        <w:ind w:left="1440" w:hanging="360"/>
      </w:pPr>
      <w:rPr>
        <w:rFonts w:ascii="Courier New" w:hAnsi="Courier New" w:hint="default"/>
      </w:rPr>
    </w:lvl>
    <w:lvl w:ilvl="2" w:tplc="5FA825FE" w:tentative="1">
      <w:start w:val="1"/>
      <w:numFmt w:val="bullet"/>
      <w:lvlText w:val="o"/>
      <w:lvlJc w:val="left"/>
      <w:pPr>
        <w:tabs>
          <w:tab w:val="num" w:pos="2160"/>
        </w:tabs>
        <w:ind w:left="2160" w:hanging="360"/>
      </w:pPr>
      <w:rPr>
        <w:rFonts w:ascii="Courier New" w:hAnsi="Courier New" w:hint="default"/>
      </w:rPr>
    </w:lvl>
    <w:lvl w:ilvl="3" w:tplc="ED6843C0" w:tentative="1">
      <w:start w:val="1"/>
      <w:numFmt w:val="bullet"/>
      <w:lvlText w:val="o"/>
      <w:lvlJc w:val="left"/>
      <w:pPr>
        <w:tabs>
          <w:tab w:val="num" w:pos="2880"/>
        </w:tabs>
        <w:ind w:left="2880" w:hanging="360"/>
      </w:pPr>
      <w:rPr>
        <w:rFonts w:ascii="Courier New" w:hAnsi="Courier New" w:hint="default"/>
      </w:rPr>
    </w:lvl>
    <w:lvl w:ilvl="4" w:tplc="8C02CD5C" w:tentative="1">
      <w:start w:val="1"/>
      <w:numFmt w:val="bullet"/>
      <w:lvlText w:val="o"/>
      <w:lvlJc w:val="left"/>
      <w:pPr>
        <w:tabs>
          <w:tab w:val="num" w:pos="3600"/>
        </w:tabs>
        <w:ind w:left="3600" w:hanging="360"/>
      </w:pPr>
      <w:rPr>
        <w:rFonts w:ascii="Courier New" w:hAnsi="Courier New" w:hint="default"/>
      </w:rPr>
    </w:lvl>
    <w:lvl w:ilvl="5" w:tplc="FE5A8660" w:tentative="1">
      <w:start w:val="1"/>
      <w:numFmt w:val="bullet"/>
      <w:lvlText w:val="o"/>
      <w:lvlJc w:val="left"/>
      <w:pPr>
        <w:tabs>
          <w:tab w:val="num" w:pos="4320"/>
        </w:tabs>
        <w:ind w:left="4320" w:hanging="360"/>
      </w:pPr>
      <w:rPr>
        <w:rFonts w:ascii="Courier New" w:hAnsi="Courier New" w:hint="default"/>
      </w:rPr>
    </w:lvl>
    <w:lvl w:ilvl="6" w:tplc="8A58D3A6" w:tentative="1">
      <w:start w:val="1"/>
      <w:numFmt w:val="bullet"/>
      <w:lvlText w:val="o"/>
      <w:lvlJc w:val="left"/>
      <w:pPr>
        <w:tabs>
          <w:tab w:val="num" w:pos="5040"/>
        </w:tabs>
        <w:ind w:left="5040" w:hanging="360"/>
      </w:pPr>
      <w:rPr>
        <w:rFonts w:ascii="Courier New" w:hAnsi="Courier New" w:hint="default"/>
      </w:rPr>
    </w:lvl>
    <w:lvl w:ilvl="7" w:tplc="1604F148" w:tentative="1">
      <w:start w:val="1"/>
      <w:numFmt w:val="bullet"/>
      <w:lvlText w:val="o"/>
      <w:lvlJc w:val="left"/>
      <w:pPr>
        <w:tabs>
          <w:tab w:val="num" w:pos="5760"/>
        </w:tabs>
        <w:ind w:left="5760" w:hanging="360"/>
      </w:pPr>
      <w:rPr>
        <w:rFonts w:ascii="Courier New" w:hAnsi="Courier New" w:hint="default"/>
      </w:rPr>
    </w:lvl>
    <w:lvl w:ilvl="8" w:tplc="18E6820A" w:tentative="1">
      <w:start w:val="1"/>
      <w:numFmt w:val="bullet"/>
      <w:lvlText w:val="o"/>
      <w:lvlJc w:val="left"/>
      <w:pPr>
        <w:tabs>
          <w:tab w:val="num" w:pos="6480"/>
        </w:tabs>
        <w:ind w:left="6480" w:hanging="360"/>
      </w:pPr>
      <w:rPr>
        <w:rFonts w:ascii="Courier New" w:hAnsi="Courier New"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2C"/>
    <w:rsid w:val="00185146"/>
    <w:rsid w:val="002C178D"/>
    <w:rsid w:val="003D4485"/>
    <w:rsid w:val="00544C98"/>
    <w:rsid w:val="009F1197"/>
    <w:rsid w:val="00A96DA3"/>
    <w:rsid w:val="00D853F2"/>
    <w:rsid w:val="00E7492C"/>
    <w:rsid w:val="00ED7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D274"/>
  <w15:chartTrackingRefBased/>
  <w15:docId w15:val="{7DDA189B-F2CF-4421-B988-7F551C41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9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08537">
      <w:bodyDiv w:val="1"/>
      <w:marLeft w:val="0"/>
      <w:marRight w:val="0"/>
      <w:marTop w:val="0"/>
      <w:marBottom w:val="0"/>
      <w:divBdr>
        <w:top w:val="none" w:sz="0" w:space="0" w:color="auto"/>
        <w:left w:val="none" w:sz="0" w:space="0" w:color="auto"/>
        <w:bottom w:val="none" w:sz="0" w:space="0" w:color="auto"/>
        <w:right w:val="none" w:sz="0" w:space="0" w:color="auto"/>
      </w:divBdr>
    </w:div>
    <w:div w:id="1372338623">
      <w:bodyDiv w:val="1"/>
      <w:marLeft w:val="0"/>
      <w:marRight w:val="0"/>
      <w:marTop w:val="0"/>
      <w:marBottom w:val="0"/>
      <w:divBdr>
        <w:top w:val="none" w:sz="0" w:space="0" w:color="auto"/>
        <w:left w:val="none" w:sz="0" w:space="0" w:color="auto"/>
        <w:bottom w:val="none" w:sz="0" w:space="0" w:color="auto"/>
        <w:right w:val="none" w:sz="0" w:space="0" w:color="auto"/>
      </w:divBdr>
      <w:divsChild>
        <w:div w:id="1647665669">
          <w:marLeft w:val="0"/>
          <w:marRight w:val="0"/>
          <w:marTop w:val="0"/>
          <w:marBottom w:val="120"/>
          <w:divBdr>
            <w:top w:val="none" w:sz="0" w:space="0" w:color="auto"/>
            <w:left w:val="none" w:sz="0" w:space="0" w:color="auto"/>
            <w:bottom w:val="none" w:sz="0" w:space="0" w:color="auto"/>
            <w:right w:val="none" w:sz="0" w:space="0" w:color="auto"/>
          </w:divBdr>
        </w:div>
        <w:div w:id="984971786">
          <w:marLeft w:val="0"/>
          <w:marRight w:val="0"/>
          <w:marTop w:val="0"/>
          <w:marBottom w:val="120"/>
          <w:divBdr>
            <w:top w:val="none" w:sz="0" w:space="0" w:color="auto"/>
            <w:left w:val="none" w:sz="0" w:space="0" w:color="auto"/>
            <w:bottom w:val="none" w:sz="0" w:space="0" w:color="auto"/>
            <w:right w:val="none" w:sz="0" w:space="0" w:color="auto"/>
          </w:divBdr>
        </w:div>
        <w:div w:id="508982388">
          <w:marLeft w:val="274"/>
          <w:marRight w:val="0"/>
          <w:marTop w:val="0"/>
          <w:marBottom w:val="0"/>
          <w:divBdr>
            <w:top w:val="none" w:sz="0" w:space="0" w:color="auto"/>
            <w:left w:val="none" w:sz="0" w:space="0" w:color="auto"/>
            <w:bottom w:val="none" w:sz="0" w:space="0" w:color="auto"/>
            <w:right w:val="none" w:sz="0" w:space="0" w:color="auto"/>
          </w:divBdr>
        </w:div>
        <w:div w:id="1973637091">
          <w:marLeft w:val="274"/>
          <w:marRight w:val="0"/>
          <w:marTop w:val="0"/>
          <w:marBottom w:val="0"/>
          <w:divBdr>
            <w:top w:val="none" w:sz="0" w:space="0" w:color="auto"/>
            <w:left w:val="none" w:sz="0" w:space="0" w:color="auto"/>
            <w:bottom w:val="none" w:sz="0" w:space="0" w:color="auto"/>
            <w:right w:val="none" w:sz="0" w:space="0" w:color="auto"/>
          </w:divBdr>
        </w:div>
        <w:div w:id="1081179866">
          <w:marLeft w:val="274"/>
          <w:marRight w:val="0"/>
          <w:marTop w:val="0"/>
          <w:marBottom w:val="0"/>
          <w:divBdr>
            <w:top w:val="none" w:sz="0" w:space="0" w:color="auto"/>
            <w:left w:val="none" w:sz="0" w:space="0" w:color="auto"/>
            <w:bottom w:val="none" w:sz="0" w:space="0" w:color="auto"/>
            <w:right w:val="none" w:sz="0" w:space="0" w:color="auto"/>
          </w:divBdr>
        </w:div>
        <w:div w:id="1718702990">
          <w:marLeft w:val="274"/>
          <w:marRight w:val="0"/>
          <w:marTop w:val="0"/>
          <w:marBottom w:val="0"/>
          <w:divBdr>
            <w:top w:val="none" w:sz="0" w:space="0" w:color="auto"/>
            <w:left w:val="none" w:sz="0" w:space="0" w:color="auto"/>
            <w:bottom w:val="none" w:sz="0" w:space="0" w:color="auto"/>
            <w:right w:val="none" w:sz="0" w:space="0" w:color="auto"/>
          </w:divBdr>
        </w:div>
        <w:div w:id="1840191178">
          <w:marLeft w:val="274"/>
          <w:marRight w:val="0"/>
          <w:marTop w:val="0"/>
          <w:marBottom w:val="0"/>
          <w:divBdr>
            <w:top w:val="none" w:sz="0" w:space="0" w:color="auto"/>
            <w:left w:val="none" w:sz="0" w:space="0" w:color="auto"/>
            <w:bottom w:val="none" w:sz="0" w:space="0" w:color="auto"/>
            <w:right w:val="none" w:sz="0" w:space="0" w:color="auto"/>
          </w:divBdr>
        </w:div>
        <w:div w:id="879364846">
          <w:marLeft w:val="274"/>
          <w:marRight w:val="0"/>
          <w:marTop w:val="0"/>
          <w:marBottom w:val="0"/>
          <w:divBdr>
            <w:top w:val="none" w:sz="0" w:space="0" w:color="auto"/>
            <w:left w:val="none" w:sz="0" w:space="0" w:color="auto"/>
            <w:bottom w:val="none" w:sz="0" w:space="0" w:color="auto"/>
            <w:right w:val="none" w:sz="0" w:space="0" w:color="auto"/>
          </w:divBdr>
        </w:div>
      </w:divsChild>
    </w:div>
    <w:div w:id="1749694666">
      <w:bodyDiv w:val="1"/>
      <w:marLeft w:val="0"/>
      <w:marRight w:val="0"/>
      <w:marTop w:val="0"/>
      <w:marBottom w:val="0"/>
      <w:divBdr>
        <w:top w:val="none" w:sz="0" w:space="0" w:color="auto"/>
        <w:left w:val="none" w:sz="0" w:space="0" w:color="auto"/>
        <w:bottom w:val="none" w:sz="0" w:space="0" w:color="auto"/>
        <w:right w:val="none" w:sz="0" w:space="0" w:color="auto"/>
      </w:divBdr>
      <w:divsChild>
        <w:div w:id="1220633789">
          <w:marLeft w:val="446"/>
          <w:marRight w:val="0"/>
          <w:marTop w:val="0"/>
          <w:marBottom w:val="120"/>
          <w:divBdr>
            <w:top w:val="none" w:sz="0" w:space="0" w:color="auto"/>
            <w:left w:val="none" w:sz="0" w:space="0" w:color="auto"/>
            <w:bottom w:val="none" w:sz="0" w:space="0" w:color="auto"/>
            <w:right w:val="none" w:sz="0" w:space="0" w:color="auto"/>
          </w:divBdr>
        </w:div>
        <w:div w:id="1449203816">
          <w:marLeft w:val="446"/>
          <w:marRight w:val="0"/>
          <w:marTop w:val="0"/>
          <w:marBottom w:val="120"/>
          <w:divBdr>
            <w:top w:val="none" w:sz="0" w:space="0" w:color="auto"/>
            <w:left w:val="none" w:sz="0" w:space="0" w:color="auto"/>
            <w:bottom w:val="none" w:sz="0" w:space="0" w:color="auto"/>
            <w:right w:val="none" w:sz="0" w:space="0" w:color="auto"/>
          </w:divBdr>
        </w:div>
        <w:div w:id="623117866">
          <w:marLeft w:val="446"/>
          <w:marRight w:val="0"/>
          <w:marTop w:val="0"/>
          <w:marBottom w:val="120"/>
          <w:divBdr>
            <w:top w:val="none" w:sz="0" w:space="0" w:color="auto"/>
            <w:left w:val="none" w:sz="0" w:space="0" w:color="auto"/>
            <w:bottom w:val="none" w:sz="0" w:space="0" w:color="auto"/>
            <w:right w:val="none" w:sz="0" w:space="0" w:color="auto"/>
          </w:divBdr>
        </w:div>
        <w:div w:id="1545561254">
          <w:marLeft w:val="446"/>
          <w:marRight w:val="0"/>
          <w:marTop w:val="0"/>
          <w:marBottom w:val="120"/>
          <w:divBdr>
            <w:top w:val="none" w:sz="0" w:space="0" w:color="auto"/>
            <w:left w:val="none" w:sz="0" w:space="0" w:color="auto"/>
            <w:bottom w:val="none" w:sz="0" w:space="0" w:color="auto"/>
            <w:right w:val="none" w:sz="0" w:space="0" w:color="auto"/>
          </w:divBdr>
        </w:div>
        <w:div w:id="1296716007">
          <w:marLeft w:val="446"/>
          <w:marRight w:val="0"/>
          <w:marTop w:val="0"/>
          <w:marBottom w:val="120"/>
          <w:divBdr>
            <w:top w:val="none" w:sz="0" w:space="0" w:color="auto"/>
            <w:left w:val="none" w:sz="0" w:space="0" w:color="auto"/>
            <w:bottom w:val="none" w:sz="0" w:space="0" w:color="auto"/>
            <w:right w:val="none" w:sz="0" w:space="0" w:color="auto"/>
          </w:divBdr>
        </w:div>
        <w:div w:id="1107892612">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resource.nihr.ac.uk/centres-programmes/improving-black-health-outcomes-ibho/" TargetMode="External"/><Relationship Id="rId3" Type="http://schemas.openxmlformats.org/officeDocument/2006/relationships/settings" Target="settings.xml"/><Relationship Id="rId7" Type="http://schemas.openxmlformats.org/officeDocument/2006/relationships/hyperlink" Target="https://clinicaltrials.gov/study/NCT04624659?cond=Sickle%20Cell%20Disease&amp;intr=Etavopivat&amp;rank=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v.veeva.com/study/a-study-to-test-the-safety-tolerability-and-efficacy-of-an-antibody-regn7999-injected-under-the" TargetMode="External"/><Relationship Id="rId11" Type="http://schemas.openxmlformats.org/officeDocument/2006/relationships/fontTable" Target="fontTable.xml"/><Relationship Id="rId5" Type="http://schemas.openxmlformats.org/officeDocument/2006/relationships/hyperlink" Target="https://www.redresstrial.co.uk/" TargetMode="External"/><Relationship Id="rId10" Type="http://schemas.openxmlformats.org/officeDocument/2006/relationships/hyperlink" Target="mailto:b.chivers@nhs.net?subject=Red%20Cell%20Network%20Research%20Studies" TargetMode="External"/><Relationship Id="rId4" Type="http://schemas.openxmlformats.org/officeDocument/2006/relationships/webSettings" Target="webSettings.xml"/><Relationship Id="rId9" Type="http://schemas.openxmlformats.org/officeDocument/2006/relationships/hyperlink" Target="https://www.sicklecellsociety.org/clinical-trials/sickle-eye-project-leaflet-version-1-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Chivers, Bridget</dc:creator>
  <cp:keywords/>
  <dc:description/>
  <cp:lastModifiedBy>Chivers, Bridget</cp:lastModifiedBy>
  <cp:revision>3</cp:revision>
  <dcterms:created xsi:type="dcterms:W3CDTF">2024-11-22T10:42:00Z</dcterms:created>
  <dcterms:modified xsi:type="dcterms:W3CDTF">2024-11-22T10:51:00Z</dcterms:modified>
</cp:coreProperties>
</file>